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600"/>
        <w:jc w:val="center"/>
      </w:pPr>
      <w:r>
        <w:rPr>
          <w:b/>
          <w:bCs/>
          <w:color w:val="B8912F"/>
          <w:spacing w:val="20"/>
          <w:sz w:val="28"/>
          <w:szCs w:val="28"/>
        </w:rPr>
        <w:t xml:space="preserve">OSET EMPRESARIAL</w:t>
      </w:r>
    </w:p>
    <w:p>
      <w:pPr>
        <w:spacing w:after="400"/>
        <w:jc w:val="center"/>
      </w:pPr>
      <w:r>
        <w:rPr>
          <w:color w:val="595959"/>
          <w:sz w:val="18"/>
          <w:szCs w:val="18"/>
        </w:rPr>
        <w:t xml:space="preserve">Recuperação de Créditos Tributários · Diagnóstico Fiscal · Auditoria Técnica</w:t>
      </w:r>
    </w:p>
    <w:p>
      <w:pPr>
        <w:spacing w:after="200" w:before="800"/>
        <w:jc w:val="center"/>
      </w:pPr>
      <w:r>
        <w:rPr>
          <w:b/>
          <w:bCs/>
          <w:color w:val="0A0A0A"/>
          <w:sz w:val="40"/>
          <w:szCs w:val="40"/>
        </w:rPr>
        <w:t xml:space="preserve">Relatório de Segurança, Responsabilidade e Garantias de Execução</w:t>
      </w:r>
    </w:p>
    <w:p>
      <w:pPr>
        <w:spacing w:after="800"/>
        <w:jc w:val="center"/>
      </w:pPr>
      <w:r>
        <w:rPr>
          <w:color w:val="B8912F"/>
          <w:sz w:val="22"/>
          <w:szCs w:val="22"/>
        </w:rPr>
        <w:t xml:space="preserve">Versão técnica para Advogados e Assessoria Jurídica</w:t>
      </w:r>
    </w:p>
    <w:p>
      <w:pPr>
        <w:spacing w:before="1200"/>
        <w:jc w:val="center"/>
      </w:pPr>
      <w:r>
        <w:rPr>
          <w:color w:val="595959"/>
          <w:sz w:val="18"/>
          <w:szCs w:val="18"/>
        </w:rPr>
        <w:t xml:space="preserve">Documento técnico-institucional · Versão 13/07/2026</w:t>
      </w:r>
    </w:p>
    <w:p>
      <w:r>
        <w:br w:type="page"/>
      </w:r>
    </w:p>
    <w:p>
      <w:pPr>
        <w:pStyle w:val="Heading1"/>
        <w:spacing w:after="160" w:before="360"/>
      </w:pPr>
      <w:r>
        <w:rPr>
          <w:b/>
          <w:bCs/>
          <w:color w:val="0A0A0A"/>
        </w:rPr>
        <w:t xml:space="preserve">1. Sumário executivo</w:t>
      </w:r>
    </w:p>
    <w:p>
      <w:pPr>
        <w:spacing w:after="160"/>
        <w:jc w:val="both"/>
      </w:pPr>
      <w:r>
        <w:t xml:space="preserve">Este documento apresenta a estrutura jurídica e operacional da OSET Empresarial na condução de processos de recuperação de créditos tributários, com foco em responsabilidade legal, base normativa e jurisprudencial aplicada, escopo de atuação via procuração, e os limites contratuais e técnicos das garantias oferecidas ao cliente. O objetivo é oferecer a um advogado (interno, do cliente ou parceiro) uma leitura clara de como a segurança jurídica é estruturada em cada etapa.</w:t>
      </w:r>
    </w:p>
    <w:p>
      <w:pPr>
        <w:pStyle w:val="Heading1"/>
        <w:spacing w:after="160" w:before="360"/>
      </w:pPr>
      <w:r>
        <w:rPr>
          <w:b/>
          <w:bCs/>
          <w:color w:val="0A0A0A"/>
        </w:rPr>
        <w:t xml:space="preserve">2. Natureza e escopo da atuação da OSET</w:t>
      </w:r>
    </w:p>
    <w:p>
      <w:pPr>
        <w:spacing w:after="160"/>
        <w:jc w:val="both"/>
      </w:pPr>
      <w:r>
        <w:t xml:space="preserve">A OSET Empresarial LTDA (CNPJ 28.750.072/0001-75) atua na realização de diagnóstico fiscal, auditoria técnica documental e execução de créditos tributários legítimos, para empresas optantes pelo Simples Nacional, Lucro Presumido e Lucro Real, incluindo frentes específicas como PIS/COFINS monofásico (revisão de 60 meses), exclusão do ICMS da base de cálculo de PIS/COFINS, créditos de insumos, energia, fretes e exportações, e adequação à Reforma Tributária (IBS/CBS/IS).</w:t>
      </w:r>
    </w:p>
    <w:p>
      <w:pPr>
        <w:spacing w:after="160"/>
        <w:jc w:val="both"/>
      </w:pPr>
      <w:r>
        <w:t xml:space="preserve">Toda atuação parte de documentação real fornecida pelo cliente (ou por sua contabilidade, mediante autorização formal) — EFD-Contribuições, DCTF, notas fiscais, apurações históricas — cruzada com a legislação vigente e o histórico de decisões administrativas e judiciais aplicáveis ao caso. Não há apuração, tese ou execução sem lastro documental.</w:t>
      </w:r>
    </w:p>
    <w:p>
      <w:pPr>
        <w:pStyle w:val="Heading1"/>
        <w:spacing w:after="160" w:before="360"/>
      </w:pPr>
      <w:r>
        <w:rPr>
          <w:b/>
          <w:bCs/>
          <w:color w:val="0A0A0A"/>
        </w:rPr>
        <w:t xml:space="preserve">3. Base legal e jurisprudencial aplicada em tempo real</w:t>
      </w:r>
    </w:p>
    <w:p>
      <w:pPr>
        <w:spacing w:after="160"/>
        <w:jc w:val="both"/>
      </w:pPr>
      <w:r>
        <w:t xml:space="preserve">A tabela abaixo reúne as principais fontes legais e infralegais que fundamentam a atuação técnica da OSET, com link direto para o texto oficial. Esta base é revisada continuamente conforme alterações legislativas, em especial durante a fase de transição da Reforma Tributária (2026–2033).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4000"/>
        <w:gridCol w:w="3800"/>
      </w:tblGrid>
      <w:tr>
        <w:trPr>
          <w:tblHeader/>
        </w:trPr>
        <w:tc>
          <w:tcPr>
            <w:tcW w:type="pct" w:w="22%"/>
            <w:shd w:fill="0A0A0A" w:color="auto" w:val="clear"/>
          </w:tcPr>
          <w:p>
            <w:r>
              <w:rPr>
                <w:b/>
                <w:bCs/>
                <w:color w:val="FFFFFF"/>
              </w:rPr>
              <w:t xml:space="preserve">Base legal</w:t>
            </w:r>
          </w:p>
        </w:tc>
        <w:tc>
          <w:tcPr>
            <w:tcW w:type="pct" w:w="40%"/>
            <w:shd w:fill="0A0A0A" w:color="auto" w:val="clear"/>
          </w:tcPr>
          <w:p>
            <w:r>
              <w:rPr>
                <w:b/>
                <w:bCs/>
                <w:color w:val="FFFFFF"/>
              </w:rPr>
              <w:t xml:space="preserve">Descrição</w:t>
            </w:r>
          </w:p>
        </w:tc>
        <w:tc>
          <w:tcPr>
            <w:tcW w:type="pct" w:w="38%"/>
            <w:shd w:fill="0A0A0A" w:color="auto" w:val="clear"/>
          </w:tcPr>
          <w:p>
            <w:r>
              <w:rPr>
                <w:b/>
                <w:bCs/>
                <w:color w:val="FFFFFF"/>
              </w:rPr>
              <w:t xml:space="preserve">Fonte oficial</w:t>
            </w:r>
          </w:p>
        </w:tc>
      </w:tr>
      <w:tr>
        <w:tc>
          <w:tcPr>
            <w:tcW w:type="pct" w:w="22%"/>
          </w:tcPr>
          <w:p>
            <w:r>
              <w:rPr>
                <w:b/>
                <w:bCs/>
              </w:rPr>
              <w:t xml:space="preserve">LC 123/2006</w:t>
            </w:r>
          </w:p>
        </w:tc>
        <w:tc>
          <w:tcPr>
            <w:tcW w:type="pct" w:w="40%"/>
          </w:tcPr>
          <w:p>
            <w:r>
              <w:t xml:space="preserve">Estatuto Nacional da ME/EPP — base do Simples Nacional.</w:t>
            </w:r>
          </w:p>
        </w:tc>
        <w:tc>
          <w:tcPr>
            <w:tcW w:type="pct" w:w="38%"/>
          </w:tcPr>
          <w:p>
            <w:hyperlink w:history="1" r:id="rIdllmcvnzerrnge44uoxcn8">
              <w:r>
                <w:rPr>
                  <w:rStyle w:val="Hyperlink"/>
                  <w:color w:val="1155CC"/>
                  <w:u w:val="single"/>
                </w:rPr>
                <w:t xml:space="preserve">Acessar fonte oficial</w:t>
              </w:r>
            </w:hyperlink>
          </w:p>
        </w:tc>
      </w:tr>
      <w:tr>
        <w:tc>
          <w:tcPr>
            <w:tcW w:type="pct" w:w="22%"/>
          </w:tcPr>
          <w:p>
            <w:r>
              <w:rPr>
                <w:b/>
                <w:bCs/>
              </w:rPr>
              <w:t xml:space="preserve">Resolução CGSN nº 140/2018</w:t>
            </w:r>
          </w:p>
        </w:tc>
        <w:tc>
          <w:tcPr>
            <w:tcW w:type="pct" w:w="40%"/>
          </w:tcPr>
          <w:p>
            <w:r>
              <w:t xml:space="preserve">Regulamento consolidado do Simples Nacional (PGDAS-D, apuração, retificação).</w:t>
            </w:r>
          </w:p>
        </w:tc>
        <w:tc>
          <w:tcPr>
            <w:tcW w:type="pct" w:w="38%"/>
          </w:tcPr>
          <w:p>
            <w:hyperlink w:history="1" r:id="rIdjsxgo8kmxfuzheyst4env">
              <w:r>
                <w:rPr>
                  <w:rStyle w:val="Hyperlink"/>
                  <w:color w:val="1155CC"/>
                  <w:u w:val="single"/>
                </w:rPr>
                <w:t xml:space="preserve">Acessar fonte oficial</w:t>
              </w:r>
            </w:hyperlink>
          </w:p>
        </w:tc>
      </w:tr>
      <w:tr>
        <w:tc>
          <w:tcPr>
            <w:tcW w:type="pct" w:w="22%"/>
          </w:tcPr>
          <w:p>
            <w:r>
              <w:rPr>
                <w:b/>
                <w:bCs/>
              </w:rPr>
              <w:t xml:space="preserve">Lei 10.147/2000</w:t>
            </w:r>
          </w:p>
        </w:tc>
        <w:tc>
          <w:tcPr>
            <w:tcW w:type="pct" w:w="40%"/>
          </w:tcPr>
          <w:p>
            <w:r>
              <w:t xml:space="preserve">Tributação monofásica de PIS/COFINS — produtos farmacêuticos e de higiene.</w:t>
            </w:r>
          </w:p>
        </w:tc>
        <w:tc>
          <w:tcPr>
            <w:tcW w:type="pct" w:w="38%"/>
          </w:tcPr>
          <w:p>
            <w:hyperlink w:history="1" r:id="rIdory3l07qxudvaf_y7ie1s">
              <w:r>
                <w:rPr>
                  <w:rStyle w:val="Hyperlink"/>
                  <w:color w:val="1155CC"/>
                  <w:u w:val="single"/>
                </w:rPr>
                <w:t xml:space="preserve">Acessar fonte oficial</w:t>
              </w:r>
            </w:hyperlink>
          </w:p>
        </w:tc>
      </w:tr>
      <w:tr>
        <w:tc>
          <w:tcPr>
            <w:tcW w:type="pct" w:w="22%"/>
          </w:tcPr>
          <w:p>
            <w:r>
              <w:rPr>
                <w:b/>
                <w:bCs/>
              </w:rPr>
              <w:t xml:space="preserve">Lei 10.485/2002</w:t>
            </w:r>
          </w:p>
        </w:tc>
        <w:tc>
          <w:tcPr>
            <w:tcW w:type="pct" w:w="40%"/>
          </w:tcPr>
          <w:p>
            <w:r>
              <w:t xml:space="preserve">Tributação monofásica de PIS/COFINS — veículos e autopeças.</w:t>
            </w:r>
          </w:p>
        </w:tc>
        <w:tc>
          <w:tcPr>
            <w:tcW w:type="pct" w:w="38%"/>
          </w:tcPr>
          <w:p>
            <w:hyperlink w:history="1" r:id="rIdirkm1tuiaq4pt79m4cfms">
              <w:r>
                <w:rPr>
                  <w:rStyle w:val="Hyperlink"/>
                  <w:color w:val="1155CC"/>
                  <w:u w:val="single"/>
                </w:rPr>
                <w:t xml:space="preserve">Acessar fonte oficial</w:t>
              </w:r>
            </w:hyperlink>
          </w:p>
        </w:tc>
      </w:tr>
      <w:tr>
        <w:tc>
          <w:tcPr>
            <w:tcW w:type="pct" w:w="22%"/>
          </w:tcPr>
          <w:p>
            <w:r>
              <w:rPr>
                <w:b/>
                <w:bCs/>
              </w:rPr>
              <w:t xml:space="preserve">Lei 13.097/2015</w:t>
            </w:r>
          </w:p>
        </w:tc>
        <w:tc>
          <w:tcPr>
            <w:tcW w:type="pct" w:w="40%"/>
          </w:tcPr>
          <w:p>
            <w:r>
              <w:t xml:space="preserve">Tributação monofásica de PIS/COFINS — combustíveis, entre outros.</w:t>
            </w:r>
          </w:p>
        </w:tc>
        <w:tc>
          <w:tcPr>
            <w:tcW w:type="pct" w:w="38%"/>
          </w:tcPr>
          <w:p>
            <w:hyperlink w:history="1" r:id="rIdu9nb8erg9ffbw4ssxga1x">
              <w:r>
                <w:rPr>
                  <w:rStyle w:val="Hyperlink"/>
                  <w:color w:val="1155CC"/>
                  <w:u w:val="single"/>
                </w:rPr>
                <w:t xml:space="preserve">Acessar fonte oficial</w:t>
              </w:r>
            </w:hyperlink>
          </w:p>
        </w:tc>
      </w:tr>
      <w:tr>
        <w:tc>
          <w:tcPr>
            <w:tcW w:type="pct" w:w="22%"/>
          </w:tcPr>
          <w:p>
            <w:r>
              <w:rPr>
                <w:b/>
                <w:bCs/>
              </w:rPr>
              <w:t xml:space="preserve">Lei 9.718/98</w:t>
            </w:r>
          </w:p>
        </w:tc>
        <w:tc>
          <w:tcPr>
            <w:tcW w:type="pct" w:w="40%"/>
          </w:tcPr>
          <w:p>
            <w:r>
              <w:t xml:space="preserve">Base de cálculo de PIS/COFINS no regime cumulativo.</w:t>
            </w:r>
          </w:p>
        </w:tc>
        <w:tc>
          <w:tcPr>
            <w:tcW w:type="pct" w:w="38%"/>
          </w:tcPr>
          <w:p>
            <w:hyperlink w:history="1" r:id="rIdq6j4tbgn4ve9nofbszvct">
              <w:r>
                <w:rPr>
                  <w:rStyle w:val="Hyperlink"/>
                  <w:color w:val="1155CC"/>
                  <w:u w:val="single"/>
                </w:rPr>
                <w:t xml:space="preserve">Acessar fonte oficial</w:t>
              </w:r>
            </w:hyperlink>
          </w:p>
        </w:tc>
      </w:tr>
      <w:tr>
        <w:tc>
          <w:tcPr>
            <w:tcW w:type="pct" w:w="22%"/>
          </w:tcPr>
          <w:p>
            <w:r>
              <w:rPr>
                <w:b/>
                <w:bCs/>
              </w:rPr>
              <w:t xml:space="preserve">Tema 69 STF (RE 574.706)</w:t>
            </w:r>
          </w:p>
        </w:tc>
        <w:tc>
          <w:tcPr>
            <w:tcW w:type="pct" w:w="40%"/>
          </w:tcPr>
          <w:p>
            <w:r>
              <w:t xml:space="preserve">Exclusão do ICMS da base de cálculo do PIS/COFINS ("tese do século").</w:t>
            </w:r>
          </w:p>
        </w:tc>
        <w:tc>
          <w:tcPr>
            <w:tcW w:type="pct" w:w="38%"/>
          </w:tcPr>
          <w:p>
            <w:hyperlink w:history="1" r:id="rId1tnwkyil2jsviygweffve">
              <w:r>
                <w:rPr>
                  <w:rStyle w:val="Hyperlink"/>
                  <w:color w:val="1155CC"/>
                  <w:u w:val="single"/>
                </w:rPr>
                <w:t xml:space="preserve">Acessar fonte oficial</w:t>
              </w:r>
            </w:hyperlink>
          </w:p>
        </w:tc>
      </w:tr>
      <w:tr>
        <w:tc>
          <w:tcPr>
            <w:tcW w:type="pct" w:w="22%"/>
          </w:tcPr>
          <w:p>
            <w:r>
              <w:rPr>
                <w:b/>
                <w:bCs/>
              </w:rPr>
              <w:t xml:space="preserve">Temas repetitivos STJ</w:t>
            </w:r>
          </w:p>
        </w:tc>
        <w:tc>
          <w:tcPr>
            <w:tcW w:type="pct" w:w="40%"/>
          </w:tcPr>
          <w:p>
            <w:r>
              <w:t xml:space="preserve">Portal oficial de acompanhamento de recursos repetitivos (inclui Temas 779 e 1364, ligados a crédito e conceito de insumo em PIS/COFINS).</w:t>
            </w:r>
          </w:p>
        </w:tc>
        <w:tc>
          <w:tcPr>
            <w:tcW w:type="pct" w:w="38%"/>
          </w:tcPr>
          <w:p>
            <w:hyperlink w:history="1" r:id="rId4svnnslq1oo-m1isa35bo">
              <w:r>
                <w:rPr>
                  <w:rStyle w:val="Hyperlink"/>
                  <w:color w:val="1155CC"/>
                  <w:u w:val="single"/>
                </w:rPr>
                <w:t xml:space="preserve">Acessar fonte oficial</w:t>
              </w:r>
            </w:hyperlink>
          </w:p>
        </w:tc>
      </w:tr>
      <w:tr>
        <w:tc>
          <w:tcPr>
            <w:tcW w:type="pct" w:w="22%"/>
          </w:tcPr>
          <w:p>
            <w:r>
              <w:rPr>
                <w:b/>
                <w:bCs/>
              </w:rPr>
              <w:t xml:space="preserve">EC 132/2023</w:t>
            </w:r>
          </w:p>
        </w:tc>
        <w:tc>
          <w:tcPr>
            <w:tcW w:type="pct" w:w="40%"/>
          </w:tcPr>
          <w:p>
            <w:r>
              <w:t xml:space="preserve">Emenda Constitucional da Reforma Tributária — cria IBS/CBS/IS.</w:t>
            </w:r>
          </w:p>
        </w:tc>
        <w:tc>
          <w:tcPr>
            <w:tcW w:type="pct" w:w="38%"/>
          </w:tcPr>
          <w:p>
            <w:hyperlink w:history="1" r:id="rIdqw0e1pukqmh3wbdkf8ioh">
              <w:r>
                <w:rPr>
                  <w:rStyle w:val="Hyperlink"/>
                  <w:color w:val="1155CC"/>
                  <w:u w:val="single"/>
                </w:rPr>
                <w:t xml:space="preserve">Acessar fonte oficial</w:t>
              </w:r>
            </w:hyperlink>
          </w:p>
        </w:tc>
      </w:tr>
      <w:tr>
        <w:tc>
          <w:tcPr>
            <w:tcW w:type="pct" w:w="22%"/>
          </w:tcPr>
          <w:p>
            <w:r>
              <w:rPr>
                <w:b/>
                <w:bCs/>
              </w:rPr>
              <w:t xml:space="preserve">LC 214/2025</w:t>
            </w:r>
          </w:p>
        </w:tc>
        <w:tc>
          <w:tcPr>
            <w:tcW w:type="pct" w:w="40%"/>
          </w:tcPr>
          <w:p>
            <w:r>
              <w:t xml:space="preserve">Regulamentação do IBS, CBS e Imposto Seletivo.</w:t>
            </w:r>
          </w:p>
        </w:tc>
        <w:tc>
          <w:tcPr>
            <w:tcW w:type="pct" w:w="38%"/>
          </w:tcPr>
          <w:p>
            <w:hyperlink w:history="1" r:id="rId0kaouzerjwyjynqumjfyo">
              <w:r>
                <w:rPr>
                  <w:rStyle w:val="Hyperlink"/>
                  <w:color w:val="1155CC"/>
                  <w:u w:val="single"/>
                </w:rPr>
                <w:t xml:space="preserve">Acessar fonte oficial</w:t>
              </w:r>
            </w:hyperlink>
          </w:p>
        </w:tc>
      </w:tr>
      <w:tr>
        <w:tc>
          <w:tcPr>
            <w:tcW w:type="pct" w:w="22%"/>
          </w:tcPr>
          <w:p>
            <w:r>
              <w:rPr>
                <w:b/>
                <w:bCs/>
              </w:rPr>
              <w:t xml:space="preserve">LC 227/2026</w:t>
            </w:r>
          </w:p>
        </w:tc>
        <w:tc>
          <w:tcPr>
            <w:tcW w:type="pct" w:w="40%"/>
          </w:tcPr>
          <w:p>
            <w:r>
              <w:t xml:space="preserve">Cria o Comitê Gestor do IBS (CGIBS) e atualiza regras processuais/arrecadatórias da LC 214/2025.</w:t>
            </w:r>
          </w:p>
        </w:tc>
        <w:tc>
          <w:tcPr>
            <w:tcW w:type="pct" w:w="38%"/>
          </w:tcPr>
          <w:p>
            <w:hyperlink w:history="1" r:id="rIdybt_z0qcbjmy9w-leie0g">
              <w:r>
                <w:rPr>
                  <w:rStyle w:val="Hyperlink"/>
                  <w:color w:val="1155CC"/>
                  <w:u w:val="single"/>
                </w:rPr>
                <w:t xml:space="preserve">Acessar fonte oficial</w:t>
              </w:r>
            </w:hyperlink>
          </w:p>
        </w:tc>
      </w:tr>
      <w:tr>
        <w:tc>
          <w:tcPr>
            <w:tcW w:type="pct" w:w="22%"/>
          </w:tcPr>
          <w:p>
            <w:r>
              <w:rPr>
                <w:b/>
                <w:bCs/>
              </w:rPr>
              <w:t xml:space="preserve">Tabela NCM</w:t>
            </w:r>
          </w:p>
        </w:tc>
        <w:tc>
          <w:tcPr>
            <w:tcW w:type="pct" w:w="40%"/>
          </w:tcPr>
          <w:p>
            <w:r>
              <w:t xml:space="preserve">Classificação fiscal de mercadorias — Receita Federal.</w:t>
            </w:r>
          </w:p>
        </w:tc>
        <w:tc>
          <w:tcPr>
            <w:tcW w:type="pct" w:w="38%"/>
          </w:tcPr>
          <w:p>
            <w:hyperlink w:history="1" r:id="rIdszr26stohcpf3n0pjw8gd">
              <w:r>
                <w:rPr>
                  <w:rStyle w:val="Hyperlink"/>
                  <w:color w:val="1155CC"/>
                  <w:u w:val="single"/>
                </w:rPr>
                <w:t xml:space="preserve">Acessar fonte oficial</w:t>
              </w:r>
            </w:hyperlink>
          </w:p>
        </w:tc>
      </w:tr>
      <w:tr>
        <w:tc>
          <w:tcPr>
            <w:tcW w:type="pct" w:w="22%"/>
          </w:tcPr>
          <w:p>
            <w:r>
              <w:rPr>
                <w:b/>
                <w:bCs/>
              </w:rPr>
              <w:t xml:space="preserve">TIPI</w:t>
            </w:r>
          </w:p>
        </w:tc>
        <w:tc>
          <w:tcPr>
            <w:tcW w:type="pct" w:w="40%"/>
          </w:tcPr>
          <w:p>
            <w:r>
              <w:t xml:space="preserve">Tabela de Incidência do Imposto sobre Produtos Industrializados.</w:t>
            </w:r>
          </w:p>
        </w:tc>
        <w:tc>
          <w:tcPr>
            <w:tcW w:type="pct" w:w="38%"/>
          </w:tcPr>
          <w:p>
            <w:hyperlink w:history="1" r:id="rIdmrzmg5tdhoolcxfkv96ih">
              <w:r>
                <w:rPr>
                  <w:rStyle w:val="Hyperlink"/>
                  <w:color w:val="1155CC"/>
                  <w:u w:val="single"/>
                </w:rPr>
                <w:t xml:space="preserve">Acessar fonte oficial</w:t>
              </w:r>
            </w:hyperlink>
          </w:p>
        </w:tc>
      </w:tr>
      <w:tr>
        <w:tc>
          <w:tcPr>
            <w:tcW w:type="pct" w:w="22%"/>
          </w:tcPr>
          <w:p>
            <w:r>
              <w:rPr>
                <w:b/>
                <w:bCs/>
              </w:rPr>
              <w:t xml:space="preserve">Tabelas CST-PIS / CST-COFINS</w:t>
            </w:r>
          </w:p>
        </w:tc>
        <w:tc>
          <w:tcPr>
            <w:tcW w:type="pct" w:w="40%"/>
          </w:tcPr>
          <w:p>
            <w:r>
              <w:t xml:space="preserve">Códigos de situação tributária usados na EFD-Contribuições.</w:t>
            </w:r>
          </w:p>
        </w:tc>
        <w:tc>
          <w:tcPr>
            <w:tcW w:type="pct" w:w="38%"/>
          </w:tcPr>
          <w:p>
            <w:hyperlink w:history="1" r:id="rIdbmb0qdmaxlfqxpdtq04p6">
              <w:r>
                <w:rPr>
                  <w:rStyle w:val="Hyperlink"/>
                  <w:color w:val="1155CC"/>
                  <w:u w:val="single"/>
                </w:rPr>
                <w:t xml:space="preserve">Acessar fonte oficial</w:t>
              </w:r>
            </w:hyperlink>
          </w:p>
        </w:tc>
      </w:tr>
      <w:tr>
        <w:tc>
          <w:tcPr>
            <w:tcW w:type="pct" w:w="22%"/>
          </w:tcPr>
          <w:p>
            <w:r>
              <w:rPr>
                <w:b/>
                <w:bCs/>
              </w:rPr>
              <w:t xml:space="preserve">Tabela CFOP</w:t>
            </w:r>
          </w:p>
        </w:tc>
        <w:tc>
          <w:tcPr>
            <w:tcW w:type="pct" w:w="40%"/>
          </w:tcPr>
          <w:p>
            <w:r>
              <w:t xml:space="preserve">Código Fiscal de Operações e Prestações.</w:t>
            </w:r>
          </w:p>
        </w:tc>
        <w:tc>
          <w:tcPr>
            <w:tcW w:type="pct" w:w="38%"/>
          </w:tcPr>
          <w:p>
            <w:hyperlink w:history="1" r:id="rIdpf8alc4kdvhayxvtlgzzd">
              <w:r>
                <w:rPr>
                  <w:rStyle w:val="Hyperlink"/>
                  <w:color w:val="1155CC"/>
                  <w:u w:val="single"/>
                </w:rPr>
                <w:t xml:space="preserve">Acessar fonte oficial</w:t>
              </w:r>
            </w:hyperlink>
          </w:p>
        </w:tc>
      </w:tr>
      <w:tr>
        <w:tc>
          <w:tcPr>
            <w:tcW w:type="pct" w:w="22%"/>
          </w:tcPr>
          <w:p>
            <w:r>
              <w:rPr>
                <w:b/>
                <w:bCs/>
              </w:rPr>
              <w:t xml:space="preserve">Portal PGDAS-D</w:t>
            </w:r>
          </w:p>
        </w:tc>
        <w:tc>
          <w:tcPr>
            <w:tcW w:type="pct" w:w="40%"/>
          </w:tcPr>
          <w:p>
            <w:r>
              <w:t xml:space="preserve">Sistema oficial de apuração e declaração do Simples Nacional.</w:t>
            </w:r>
          </w:p>
        </w:tc>
        <w:tc>
          <w:tcPr>
            <w:tcW w:type="pct" w:w="38%"/>
          </w:tcPr>
          <w:p>
            <w:hyperlink w:history="1" r:id="rIdlcq_bfwuzhihyugly-xti">
              <w:r>
                <w:rPr>
                  <w:rStyle w:val="Hyperlink"/>
                  <w:color w:val="1155CC"/>
                  <w:u w:val="single"/>
                </w:rPr>
                <w:t xml:space="preserve">Acessar fonte oficial</w:t>
              </w:r>
            </w:hyperlink>
          </w:p>
        </w:tc>
      </w:tr>
    </w:tbl>
    <w:p>
      <w:pPr>
        <w:spacing w:after="160" w:before="200"/>
      </w:pPr>
    </w:p>
    <w:p>
      <w:pPr>
        <w:pStyle w:val="Heading1"/>
        <w:spacing w:after="160" w:before="360"/>
      </w:pPr>
      <w:r>
        <w:rPr>
          <w:b/>
          <w:bCs/>
          <w:color w:val="0A0A0A"/>
        </w:rPr>
        <w:t xml:space="preserve">4. Segurança da informação e LGPD</w:t>
      </w:r>
    </w:p>
    <w:p>
      <w:pPr>
        <w:spacing w:after="160"/>
        <w:jc w:val="both"/>
      </w:pPr>
      <w:r>
        <w:t xml:space="preserve">O tratamento de dados de clientes segue os princípios de minimização, finalidade e rastreabilidade previstos na Lei Geral de Proteção de Dados (Lei 13.709/2018). Dados de terceiros — como bases de clientes de escritórios contábeis parceiros — só são movimentados mediante autorização formal expressa, respeitando os termos de confidencialidade (NDA) firmados com cada contabilidade parceira. Não há contato com cliente final de contabilidade parceira sem autorização explícita do titular da carteira.</w:t>
      </w:r>
    </w:p>
    <w:p>
      <w:pPr>
        <w:pStyle w:val="Heading1"/>
        <w:spacing w:after="160" w:before="360"/>
      </w:pPr>
      <w:r>
        <w:rPr>
          <w:b/>
          <w:bCs/>
          <w:color w:val="0A0A0A"/>
        </w:rPr>
        <w:t xml:space="preserve">5. Garantias contratuais e seus limites</w:t>
      </w:r>
    </w:p>
    <w:p>
      <w:pPr>
        <w:pStyle w:val="Heading2"/>
        <w:spacing w:after="120" w:before="240"/>
      </w:pPr>
      <w:r>
        <w:rPr>
          <w:b/>
          <w:bCs/>
          <w:color w:val="B8912F"/>
        </w:rPr>
        <w:t xml:space="preserve">O que é garantido</w:t>
      </w:r>
    </w:p>
    <w:p>
      <w:pPr>
        <w:pStyle w:val="ListParagraph"/>
        <w:numPr>
          <w:ilvl w:val="0"/>
          <w:numId w:val="1"/>
        </w:numPr>
        <w:spacing w:after="80"/>
      </w:pPr>
      <w:r>
        <w:t xml:space="preserve">Rigor técnico e documental em toda apuração, com memória de cálculo auditável.</w:t>
      </w:r>
    </w:p>
    <w:p>
      <w:pPr>
        <w:pStyle w:val="ListParagraph"/>
        <w:numPr>
          <w:ilvl w:val="0"/>
          <w:numId w:val="1"/>
        </w:numPr>
        <w:spacing w:after="80"/>
      </w:pPr>
      <w:r>
        <w:t xml:space="preserve">Segurança jurídica do procedimento: toda tese aplicada tem fundamento legal ou jurisprudencial vigente, nunca interpretação especulativa.</w:t>
      </w:r>
    </w:p>
    <w:p>
      <w:pPr>
        <w:pStyle w:val="ListParagraph"/>
        <w:numPr>
          <w:ilvl w:val="0"/>
          <w:numId w:val="1"/>
        </w:numPr>
        <w:spacing w:after="80"/>
      </w:pPr>
      <w:r>
        <w:t xml:space="preserve">Confidencialidade e rastreabilidade no tratamento dos dados e documentos do cliente.</w:t>
      </w:r>
    </w:p>
    <w:p>
      <w:pPr>
        <w:pStyle w:val="ListParagraph"/>
        <w:numPr>
          <w:ilvl w:val="0"/>
          <w:numId w:val="1"/>
        </w:numPr>
        <w:spacing w:after="80"/>
      </w:pPr>
      <w:r>
        <w:t xml:space="preserve">Clareza contratual: escopo, honorários por êxito e responsabilidades definidos previamente em contrato.</w:t>
      </w:r>
    </w:p>
    <w:p>
      <w:pPr>
        <w:pStyle w:val="ListParagraph"/>
        <w:numPr>
          <w:ilvl w:val="0"/>
          <w:numId w:val="1"/>
        </w:numPr>
        <w:spacing w:after="80"/>
      </w:pPr>
      <w:r>
        <w:t xml:space="preserve">Segregação por natureza de crédito e indicação expressa dos riscos identificados em cada caso.</w:t>
      </w:r>
    </w:p>
    <w:p>
      <w:pPr>
        <w:pStyle w:val="Heading2"/>
        <w:spacing w:after="120" w:before="240"/>
      </w:pPr>
      <w:r>
        <w:rPr>
          <w:b/>
          <w:bCs/>
          <w:color w:val="B8912F"/>
        </w:rPr>
        <w:t xml:space="preserve">O que não é garantido</w:t>
      </w:r>
    </w:p>
    <w:p>
      <w:pPr>
        <w:spacing w:after="160"/>
        <w:jc w:val="both"/>
      </w:pPr>
      <w:r>
        <w:t xml:space="preserve">A OSET não garante resultado tributário específico, valor de crédito, prazo de homologação por parte da Receita Federal, nem desfecho de processo administrativo ou judicial — esses elementos dependem da análise documental do caso concreto e de decisão de autoridade fiscal ou do Poder Judiciário, fora do controle da OSET ou de qualquer prestador de serviço. Todo resultado preliminar apresentado é sujeito à validação documental completa.</w:t>
      </w:r>
    </w:p>
    <w:p>
      <w:pPr>
        <w:pStyle w:val="Heading1"/>
        <w:spacing w:after="160" w:before="360"/>
      </w:pPr>
      <w:r>
        <w:rPr>
          <w:b/>
          <w:bCs/>
          <w:color w:val="0A0A0A"/>
        </w:rPr>
        <w:t xml:space="preserve">6. Responsabilidade legal e alocação de risco</w:t>
      </w:r>
    </w:p>
    <w:p>
      <w:pPr>
        <w:spacing w:after="160"/>
        <w:jc w:val="both"/>
      </w:pPr>
      <w:r>
        <w:t xml:space="preserve">A responsabilidade da OSET está circunscrita ao escopo técnico contratado: análise documental, elaboração de memória de cálculo, instrução processual (PER/DCOMP, retificações) e acompanhamento da execução, sempre com base em fundamento legal identificável. Decisões de mérito tributário permanecem sujeitas às autoridades administrativas e ao Poder Judiciário. O contrato de prestação de serviços delimita claramente o escopo, os riscos identificados caso a caso e as responsabilidades de cada parte — cliente, contabilidade e OSET.</w:t>
      </w:r>
    </w:p>
    <w:p>
      <w:pPr>
        <w:pStyle w:val="Heading1"/>
        <w:spacing w:after="160" w:before="360"/>
      </w:pPr>
      <w:r>
        <w:rPr>
          <w:b/>
          <w:bCs/>
          <w:color w:val="0A0A0A"/>
        </w:rPr>
        <w:t xml:space="preserve">7. Procuração: escopo de atuação, limites e revogabilidade</w:t>
      </w:r>
    </w:p>
    <w:p>
      <w:pPr>
        <w:spacing w:after="160"/>
        <w:jc w:val="both"/>
      </w:pPr>
      <w:r>
        <w:t xml:space="preserve">A atuação da OSET perante órgãos administrativos (Receita Federal, SERPRO/Integra Contador) ocorre mediante procuração eletrônica outorgada pelo cliente, com escopo expressamente delimitado às finalidades do serviço contratado (consulta de situação fiscal, protocolo de PER/DCOMP, retificações, acompanhamento processual). A procuração:</w:t>
      </w:r>
    </w:p>
    <w:p>
      <w:pPr>
        <w:pStyle w:val="ListParagraph"/>
        <w:numPr>
          <w:ilvl w:val="0"/>
          <w:numId w:val="1"/>
        </w:numPr>
        <w:spacing w:after="80"/>
      </w:pPr>
      <w:r>
        <w:t xml:space="preserve">Não transfere titularidade de obrigações fiscais nem substitui a responsabilidade legal do contribuinte.</w:t>
      </w:r>
    </w:p>
    <w:p>
      <w:pPr>
        <w:pStyle w:val="ListParagraph"/>
        <w:numPr>
          <w:ilvl w:val="0"/>
          <w:numId w:val="1"/>
        </w:numPr>
        <w:spacing w:after="80"/>
      </w:pPr>
      <w:r>
        <w:t xml:space="preserve">É limitada às finalidades definidas em contrato — não confere poderes genéricos ou irrestritos.</w:t>
      </w:r>
    </w:p>
    <w:p>
      <w:pPr>
        <w:pStyle w:val="ListParagraph"/>
        <w:numPr>
          <w:ilvl w:val="0"/>
          <w:numId w:val="1"/>
        </w:numPr>
        <w:spacing w:after="80"/>
      </w:pPr>
      <w:r>
        <w:t xml:space="preserve">É revogável a qualquer momento pelo cliente, diretamente nos sistemas oficiais (gov.br / e-CAC).</w:t>
      </w:r>
    </w:p>
    <w:p>
      <w:pPr>
        <w:pStyle w:val="ListParagraph"/>
        <w:numPr>
          <w:ilvl w:val="0"/>
          <w:numId w:val="1"/>
        </w:numPr>
        <w:spacing w:after="80"/>
      </w:pPr>
      <w:r>
        <w:t xml:space="preserve">Tem seu uso registrado e rastreável, compatível com auditoria posterior.</w:t>
      </w:r>
    </w:p>
    <w:p>
      <w:pPr>
        <w:pStyle w:val="Heading1"/>
        <w:spacing w:after="160" w:before="360"/>
      </w:pPr>
      <w:r>
        <w:rPr>
          <w:b/>
          <w:bCs/>
          <w:color w:val="0A0A0A"/>
        </w:rPr>
        <w:t xml:space="preserve">8. Modelo de honorários</w:t>
      </w:r>
    </w:p>
    <w:p>
      <w:pPr>
        <w:spacing w:after="160"/>
        <w:jc w:val="both"/>
      </w:pPr>
      <w:r>
        <w:t xml:space="preserve">A remuneração da OSET segue modelo de honorários por êxito, condicionado à execução efetiva do crédito (homologação/compensação/restituição), com percentuais e condições definidos individualmente em contrato — nunca cobrados sobre valor não executado. Os termos financeiros específicos de cada operação constam exclusivamente do contrato firmado com o cliente.</w:t>
      </w:r>
    </w:p>
    <w:p>
      <w:pPr>
        <w:pStyle w:val="Heading1"/>
        <w:spacing w:after="160" w:before="360"/>
      </w:pPr>
      <w:r>
        <w:rPr>
          <w:b/>
          <w:bCs/>
          <w:color w:val="0A0A0A"/>
        </w:rPr>
        <w:t xml:space="preserve">9. Conformidade, compliance e Código de Conduta interno</w:t>
      </w:r>
    </w:p>
    <w:p>
      <w:pPr>
        <w:spacing w:after="160"/>
        <w:jc w:val="both"/>
      </w:pPr>
      <w:r>
        <w:t xml:space="preserve">A atuação da OSET segue política interna de compliance que veda expressamente: prometer resultado tributário garantido, inventar fundamento legal ou tese, falsificar documento ou criar crédito artificial, atuar sem autorização documental do cliente, ou operar em desacordo com a LGPD. Toda comunicação institucional e comercial da OSET — incluindo materiais publicitários — é revisada sob esse mesmo padrão.</w:t>
      </w:r>
    </w:p>
    <w:p>
      <w:pPr>
        <w:pStyle w:val="Heading1"/>
        <w:spacing w:after="160" w:before="360"/>
      </w:pPr>
      <w:r>
        <w:rPr>
          <w:b/>
          <w:bCs/>
          <w:color w:val="0A0A0A"/>
        </w:rPr>
        <w:t xml:space="preserve">10. Canais de validação e contato</w:t>
      </w:r>
    </w:p>
    <w:p>
      <w:pPr>
        <w:spacing w:after="160"/>
        <w:jc w:val="both"/>
      </w:pPr>
      <w:r>
        <w:t xml:space="preserve">Para validação de autenticidade deste documento, confirmação de procuração ativa, ou esclarecimento técnico sobre qualquer processo em andamento, os canais oficiais são:</w:t>
      </w:r>
    </w:p>
    <w:p>
      <w:pPr>
        <w:pStyle w:val="ListParagraph"/>
        <w:numPr>
          <w:ilvl w:val="0"/>
          <w:numId w:val="1"/>
        </w:numPr>
        <w:spacing w:after="80"/>
      </w:pPr>
      <w:r>
        <w:t xml:space="preserve">Site institucional: oset.com.br</w:t>
      </w:r>
    </w:p>
    <w:p>
      <w:pPr>
        <w:pStyle w:val="ListParagraph"/>
        <w:numPr>
          <w:ilvl w:val="0"/>
          <w:numId w:val="1"/>
        </w:numPr>
        <w:spacing w:after="80"/>
      </w:pPr>
      <w:r>
        <w:t xml:space="preserve">WhatsApp institucional: (47) 3091-1535</w:t>
      </w:r>
    </w:p>
    <w:p>
      <w:pPr>
        <w:pStyle w:val="ListParagraph"/>
        <w:numPr>
          <w:ilvl w:val="0"/>
          <w:numId w:val="1"/>
        </w:numPr>
        <w:spacing w:after="80"/>
      </w:pPr>
      <w:r>
        <w:t xml:space="preserve">E-mail: contato@oset.com.br</w:t>
      </w:r>
    </w:p>
    <w:p>
      <w:pPr>
        <w:spacing w:after="160"/>
        <w:jc w:val="both"/>
      </w:pPr>
      <w:r>
        <w:rPr>
          <w:i/>
          <w:iCs/>
          <w:color w:val="595959"/>
          <w:sz w:val="20"/>
          <w:szCs w:val="20"/>
        </w:rPr>
        <w:t xml:space="preserve">Este documento tem caráter informativo e institucional. Não constitui parecer jurídico ou tributário sobre caso concreto — toda análise específica depende de contratação e de auditoria documental própria.</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6"/>
        <w:szCs w:val="16"/>
      </w:rPr>
      <w:t xml:space="preserve">OSET Empresarial LTDA · CNPJ 28.750.072/0001-75 · oset.com.br ·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lmcvnzerrnge44uoxcn8" Type="http://schemas.openxmlformats.org/officeDocument/2006/relationships/hyperlink" Target="https://www.planalto.gov.br/ccivil_03/leis/lcp/lcp123.htm" TargetMode="External"/><Relationship Id="rIdjsxgo8kmxfuzheyst4env" Type="http://schemas.openxmlformats.org/officeDocument/2006/relationships/hyperlink" Target="https://normas.receita.fazenda.gov.br/sijut2consulta/link.action?idAto=92278" TargetMode="External"/><Relationship Id="rIdory3l07qxudvaf_y7ie1s" Type="http://schemas.openxmlformats.org/officeDocument/2006/relationships/hyperlink" Target="https://www.planalto.gov.br/ccivil_03/leis/l10147.htm" TargetMode="External"/><Relationship Id="rIdirkm1tuiaq4pt79m4cfms" Type="http://schemas.openxmlformats.org/officeDocument/2006/relationships/hyperlink" Target="https://www.planalto.gov.br/ccivil_03/leis/2002/L10485compilado.htm" TargetMode="External"/><Relationship Id="rIdu9nb8erg9ffbw4ssxga1x" Type="http://schemas.openxmlformats.org/officeDocument/2006/relationships/hyperlink" Target="https://www.planalto.gov.br/ccivil_03/_ato2015-2018/2015/lei/l13097.htm" TargetMode="External"/><Relationship Id="rIdq6j4tbgn4ve9nofbszvct" Type="http://schemas.openxmlformats.org/officeDocument/2006/relationships/hyperlink" Target="https://www.planalto.gov.br/ccivil_03/leis/L9718compilada.htm" TargetMode="External"/><Relationship Id="rId1tnwkyil2jsviygweffve" Type="http://schemas.openxmlformats.org/officeDocument/2006/relationships/hyperlink" Target="https://portal.stf.jus.br/jurisprudenciaRepercussao/tema.asp?num=69" TargetMode="External"/><Relationship Id="rId4svnnslq1oo-m1isa35bo" Type="http://schemas.openxmlformats.org/officeDocument/2006/relationships/hyperlink" Target="https://www.stj.jus.br/sites/portalp/Precedentes/informacoes-gerais/recursos-repetitivos" TargetMode="External"/><Relationship Id="rIdqw0e1pukqmh3wbdkf8ioh" Type="http://schemas.openxmlformats.org/officeDocument/2006/relationships/hyperlink" Target="https://www.planalto.gov.br/ccivil_03/constituicao/emendas/emc/emc132.htm" TargetMode="External"/><Relationship Id="rId0kaouzerjwyjynqumjfyo" Type="http://schemas.openxmlformats.org/officeDocument/2006/relationships/hyperlink" Target="https://www.planalto.gov.br/ccivil_03/leis/lcp/lcp214.htm" TargetMode="External"/><Relationship Id="rIdybt_z0qcbjmy9w-leie0g" Type="http://schemas.openxmlformats.org/officeDocument/2006/relationships/hyperlink" Target="https://www.planalto.gov.br/ccivil_03/leis/lcp/lcp227.htm" TargetMode="External"/><Relationship Id="rIdszr26stohcpf3n0pjw8gd" Type="http://schemas.openxmlformats.org/officeDocument/2006/relationships/hyperlink" Target="https://www.gov.br/receitafederal/pt-br/assuntos/aduana-e-comercio-exterior/classificacao-fiscal-de-mercadorias/ncm" TargetMode="External"/><Relationship Id="rIdmrzmg5tdhoolcxfkv96ih" Type="http://schemas.openxmlformats.org/officeDocument/2006/relationships/hyperlink" Target="https://www.gov.br/receitafederal/pt-br/acesso-a-informacao/legislacao/tipi-tabela-de-incidencia-do-imposto-sobre-produtos-industrializados" TargetMode="External"/><Relationship Id="rIdbmb0qdmaxlfqxpdtq04p6" Type="http://schemas.openxmlformats.org/officeDocument/2006/relationships/hyperlink" Target="https://www.gov.br/sped/pt-br/assuntos/escrituracoes-digitais/efd-contribuicoes/tabelas-de-codigos/tabelas-utilizadas-na-apuracao-das-contribuicoes-para-o-pis-pasep-e-da-cofins" TargetMode="External"/><Relationship Id="rIdpf8alc4kdvhayxvtlgzzd" Type="http://schemas.openxmlformats.org/officeDocument/2006/relationships/hyperlink" Target="https://www.gov.br/receitafederal/pt-br/acesso-a-informacao/acoes-e-programas/facilitacao/anexo-ecf-cfop" TargetMode="External"/><Relationship Id="rIdlcq_bfwuzhihyugly-xti" Type="http://schemas.openxmlformats.org/officeDocument/2006/relationships/hyperlink" Target="https://www8.receita.fazenda.gov.br/SimplesNacional/Servicos/Grupo.aspx?grp=5&amp;id=60"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2026-07-13T12:45:17.346Z</dcterms:created>
  <dcterms:modified xsi:type="dcterms:W3CDTF">2026-07-13T12:45:17.346Z</dcterms:modified>
</cp:coreProperties>
</file>

<file path=docProps/custom.xml><?xml version="1.0" encoding="utf-8"?>
<Properties xmlns="http://schemas.openxmlformats.org/officeDocument/2006/custom-properties" xmlns:vt="http://schemas.openxmlformats.org/officeDocument/2006/docPropsVTypes"/>
</file>